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bookmarkStart w:id="2" w:name="_GoBack"/>
      <w:bookmarkEnd w:id="2"/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广西安全生产职业培训中心关于举办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  <w:lang w:val="en-US" w:eastAsia="zh-CN"/>
        </w:rPr>
        <w:t>金属冶炼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金属冶炼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金属冶炼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金属冶炼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2023年3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楼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点击培训报名，或者关注我中心微信公众号“广西安培”报名，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报名时务必注明专业类别（道路运输安全、金属冶炼安全、金属非金属矿山安全、化工安全、煤矿安全、其他安全）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由各单位按规定处理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课时</w:t>
      </w:r>
      <w:r>
        <w:rPr>
          <w:rFonts w:hint="eastAsia" w:ascii="仿宋" w:hAnsi="仿宋" w:eastAsia="仿宋" w:cs="仿宋"/>
          <w:sz w:val="32"/>
          <w:szCs w:val="32"/>
        </w:rPr>
        <w:t>证。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《中华人民共和国注册安全工程师职业资格证书》和《中华人民共和国注册安全工程师执业证》清晰复印件各1份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ascii="仿宋_GB2312"/>
          <w:sz w:val="28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single"/>
        </w:rPr>
        <w:t>份）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B0381"/>
    <w:multiLevelType w:val="singleLevel"/>
    <w:tmpl w:val="822B03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6336E7"/>
    <w:rsid w:val="188C4ADE"/>
    <w:rsid w:val="18930709"/>
    <w:rsid w:val="1B336349"/>
    <w:rsid w:val="1C2D3B43"/>
    <w:rsid w:val="1CEC3499"/>
    <w:rsid w:val="1D9908B0"/>
    <w:rsid w:val="1E3337B7"/>
    <w:rsid w:val="1F2C0C2F"/>
    <w:rsid w:val="1F3B52F9"/>
    <w:rsid w:val="1F7B36AC"/>
    <w:rsid w:val="200C17F8"/>
    <w:rsid w:val="22D67754"/>
    <w:rsid w:val="23D474F8"/>
    <w:rsid w:val="240779B4"/>
    <w:rsid w:val="2555323D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68E7014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DF26F40"/>
    <w:rsid w:val="4E36543B"/>
    <w:rsid w:val="4E9C79B8"/>
    <w:rsid w:val="4EF30C45"/>
    <w:rsid w:val="4FB93D2F"/>
    <w:rsid w:val="50E62A0E"/>
    <w:rsid w:val="51123B3B"/>
    <w:rsid w:val="51302538"/>
    <w:rsid w:val="51E21FB4"/>
    <w:rsid w:val="51FB213B"/>
    <w:rsid w:val="52304B20"/>
    <w:rsid w:val="523404FC"/>
    <w:rsid w:val="5247208D"/>
    <w:rsid w:val="525E381E"/>
    <w:rsid w:val="53737664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9952699"/>
    <w:rsid w:val="5B7E4AB9"/>
    <w:rsid w:val="5D071C0A"/>
    <w:rsid w:val="5D705AD2"/>
    <w:rsid w:val="5DF4241E"/>
    <w:rsid w:val="5F6355BF"/>
    <w:rsid w:val="60145B8B"/>
    <w:rsid w:val="60314E97"/>
    <w:rsid w:val="60CA6121"/>
    <w:rsid w:val="60CB71B5"/>
    <w:rsid w:val="60D30701"/>
    <w:rsid w:val="628C3345"/>
    <w:rsid w:val="632F094E"/>
    <w:rsid w:val="641047FE"/>
    <w:rsid w:val="6557402B"/>
    <w:rsid w:val="65CC603D"/>
    <w:rsid w:val="672115D5"/>
    <w:rsid w:val="6742516C"/>
    <w:rsid w:val="67B8156B"/>
    <w:rsid w:val="693A27A5"/>
    <w:rsid w:val="69CF00DA"/>
    <w:rsid w:val="6A5819F7"/>
    <w:rsid w:val="6AEF234F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3</Pages>
  <Words>1019</Words>
  <Characters>1174</Characters>
  <Lines>7</Lines>
  <Paragraphs>5</Paragraphs>
  <TotalTime>6</TotalTime>
  <ScaleCrop>false</ScaleCrop>
  <LinksUpToDate>false</LinksUpToDate>
  <CharactersWithSpaces>1252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Administrator</cp:lastModifiedBy>
  <cp:lastPrinted>2021-01-13T01:52:00Z</cp:lastPrinted>
  <dcterms:modified xsi:type="dcterms:W3CDTF">2023-02-16T00:46:31Z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52715738137E4562A697C591957ACAC3</vt:lpwstr>
  </property>
</Properties>
</file>